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3A4B" w14:textId="50BBF051" w:rsidR="00136506" w:rsidRDefault="00136506" w:rsidP="00733A58">
      <w:pPr>
        <w:spacing w:line="240" w:lineRule="auto"/>
        <w:jc w:val="center"/>
        <w:rPr>
          <w:rFonts w:ascii="AR BLANCA" w:hAnsi="AR BLANCA"/>
          <w:b/>
          <w:bCs/>
          <w:color w:val="auto"/>
        </w:rPr>
      </w:pPr>
      <w:r>
        <w:rPr>
          <w:rFonts w:ascii="AR BLANCA" w:hAnsi="AR BLANCA"/>
          <w:b/>
          <w:bCs/>
          <w:color w:val="538135" w:themeColor="accent6" w:themeShade="BF"/>
        </w:rPr>
        <w:t xml:space="preserve">DAV, Frank L. Bradford Chapter 18 </w:t>
      </w:r>
      <w:r w:rsidRPr="00136506">
        <w:rPr>
          <w:rFonts w:ascii="AR BLANCA" w:hAnsi="AR BLANCA"/>
          <w:b/>
          <w:bCs/>
          <w:color w:val="auto"/>
        </w:rPr>
        <w:t>and</w:t>
      </w:r>
      <w:r>
        <w:rPr>
          <w:rFonts w:ascii="AR BLANCA" w:hAnsi="AR BLANCA"/>
          <w:b/>
          <w:bCs/>
          <w:color w:val="538135" w:themeColor="accent6" w:themeShade="BF"/>
        </w:rPr>
        <w:t xml:space="preserve"> </w:t>
      </w:r>
      <w:r w:rsidRPr="00136506">
        <w:rPr>
          <w:rFonts w:ascii="AR BLANCA" w:hAnsi="AR BLANCA"/>
          <w:b/>
          <w:bCs/>
          <w:color w:val="002060"/>
        </w:rPr>
        <w:t>Vets</w:t>
      </w:r>
      <w:r>
        <w:rPr>
          <w:rFonts w:ascii="AR BLANCA" w:hAnsi="AR BLANCA"/>
          <w:b/>
          <w:bCs/>
          <w:color w:val="FFC000"/>
        </w:rPr>
        <w:t>4</w:t>
      </w:r>
      <w:r>
        <w:rPr>
          <w:rFonts w:ascii="AR BLANCA" w:hAnsi="AR BLANCA"/>
          <w:b/>
          <w:bCs/>
          <w:color w:val="002060"/>
        </w:rPr>
        <w:t xml:space="preserve">Vets </w:t>
      </w:r>
      <w:r>
        <w:rPr>
          <w:rFonts w:ascii="AR BLANCA" w:hAnsi="AR BLANCA"/>
          <w:b/>
          <w:bCs/>
          <w:color w:val="FFC000"/>
        </w:rPr>
        <w:t>Foundation</w:t>
      </w:r>
      <w:r w:rsidR="00473387">
        <w:rPr>
          <w:rFonts w:ascii="AR BLANCA" w:hAnsi="AR BLANCA"/>
          <w:b/>
          <w:bCs/>
          <w:color w:val="FFC000"/>
        </w:rPr>
        <w:t>:</w:t>
      </w:r>
      <w:r>
        <w:rPr>
          <w:rFonts w:ascii="AR BLANCA" w:hAnsi="AR BLANCA"/>
          <w:b/>
          <w:bCs/>
          <w:color w:val="FFC000"/>
        </w:rPr>
        <w:t xml:space="preserve"> </w:t>
      </w:r>
      <w:r>
        <w:rPr>
          <w:rFonts w:ascii="AR BLANCA" w:hAnsi="AR BLANCA"/>
          <w:b/>
          <w:bCs/>
          <w:color w:val="auto"/>
        </w:rPr>
        <w:t>Trauma &amp; Suicide Intervention Workshop February 8-10 2023.</w:t>
      </w:r>
    </w:p>
    <w:p w14:paraId="14DB0D48" w14:textId="3317C1E9" w:rsidR="003B2DE2" w:rsidRDefault="00136506" w:rsidP="00733A58">
      <w:pPr>
        <w:spacing w:line="240" w:lineRule="auto"/>
      </w:pPr>
      <w:r w:rsidRPr="00473387">
        <w:rPr>
          <w:b/>
          <w:bCs/>
          <w:noProof/>
        </w:rPr>
        <w:drawing>
          <wp:inline distT="0" distB="0" distL="0" distR="0" wp14:anchorId="46D9D959" wp14:editId="6BCE0125">
            <wp:extent cx="3154716" cy="25266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73" cy="26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347623" wp14:editId="3BA8130C">
            <wp:extent cx="2219930" cy="2937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28" cy="30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D5CC" w14:textId="77777777" w:rsidR="00473387" w:rsidRDefault="00473387" w:rsidP="00733A58">
      <w:pPr>
        <w:spacing w:line="240" w:lineRule="auto"/>
      </w:pPr>
    </w:p>
    <w:p w14:paraId="73A576D6" w14:textId="4B05E0B3" w:rsidR="00136506" w:rsidRDefault="00136506" w:rsidP="00473387">
      <w:pPr>
        <w:spacing w:line="240" w:lineRule="auto"/>
        <w:ind w:firstLine="0"/>
      </w:pPr>
      <w:r w:rsidRPr="00733A58">
        <w:rPr>
          <w:b/>
          <w:bCs/>
          <w:u w:val="single"/>
        </w:rPr>
        <w:t>INFORMATION SHEET</w:t>
      </w:r>
      <w:r>
        <w:t>: Trauma and Suicide Intervention Workshop</w:t>
      </w:r>
      <w:r w:rsidR="00733A58">
        <w:t xml:space="preserve"> 8:30 am. – 4:30 pm.</w:t>
      </w:r>
    </w:p>
    <w:p w14:paraId="3418F9A0" w14:textId="335916CA" w:rsidR="00733A58" w:rsidRDefault="00733A58" w:rsidP="00473387">
      <w:pPr>
        <w:spacing w:line="240" w:lineRule="auto"/>
        <w:ind w:firstLine="0"/>
      </w:pPr>
      <w:r>
        <w:t xml:space="preserve">                                               Wednesday February 8, 2023 – Friday February 10, 2023</w:t>
      </w:r>
    </w:p>
    <w:p w14:paraId="268C9BC3" w14:textId="36EDD41C" w:rsidR="00473387" w:rsidRDefault="00473387" w:rsidP="00473387">
      <w:pPr>
        <w:spacing w:line="240" w:lineRule="auto"/>
        <w:ind w:firstLine="0"/>
      </w:pPr>
      <w:r>
        <w:t xml:space="preserve">                              </w:t>
      </w:r>
      <w:r w:rsidR="00733A58">
        <w:t>Guntersville Parks and Recreation Building 1500 Sunset Dr. Guntersville, AL</w:t>
      </w:r>
      <w:r>
        <w:t>.</w:t>
      </w:r>
    </w:p>
    <w:p w14:paraId="5D006E1D" w14:textId="2EEE8017" w:rsidR="00733A58" w:rsidRDefault="00733A58" w:rsidP="00136506">
      <w:pPr>
        <w:ind w:firstLine="0"/>
      </w:pPr>
      <w:r w:rsidRPr="00733A58">
        <w:rPr>
          <w:b/>
          <w:bCs/>
        </w:rPr>
        <w:t>Wednesday</w:t>
      </w:r>
      <w:r>
        <w:t xml:space="preserve">: North Classroom, Collective Group </w:t>
      </w:r>
      <w:r w:rsidRPr="00733A58">
        <w:rPr>
          <w:b/>
          <w:bCs/>
        </w:rPr>
        <w:t>Thursday &amp; Friday</w:t>
      </w:r>
      <w:r>
        <w:t xml:space="preserve"> East &amp; South Classrooms</w:t>
      </w:r>
    </w:p>
    <w:p w14:paraId="545BA364" w14:textId="77777777" w:rsidR="00473387" w:rsidRDefault="00733A58" w:rsidP="004733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LUNCH &amp; REFRESHMENTS ARE PROVIDED EACH DAY</w:t>
      </w:r>
    </w:p>
    <w:p w14:paraId="6F9D8EDB" w14:textId="653F9C4A" w:rsidR="00733A58" w:rsidRDefault="00733A58" w:rsidP="00473387">
      <w:pPr>
        <w:spacing w:line="240" w:lineRule="auto"/>
        <w:ind w:firstLine="0"/>
        <w:rPr>
          <w:b/>
          <w:bCs/>
        </w:rPr>
      </w:pPr>
      <w:r>
        <w:rPr>
          <w:b/>
          <w:bCs/>
          <w:u w:val="single"/>
        </w:rPr>
        <w:t>TRAUMA:</w:t>
      </w:r>
      <w:r>
        <w:rPr>
          <w:b/>
          <w:bCs/>
        </w:rPr>
        <w:t xml:space="preserve"> 6 CEUs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SUICIDE INTERVENTION: </w:t>
      </w:r>
      <w:r>
        <w:rPr>
          <w:b/>
          <w:bCs/>
        </w:rPr>
        <w:t>12 CEUs</w:t>
      </w:r>
    </w:p>
    <w:p w14:paraId="2E3543EE" w14:textId="3B2374FB" w:rsidR="00733A58" w:rsidRDefault="00733A58" w:rsidP="00F05DCA">
      <w:pPr>
        <w:spacing w:line="360" w:lineRule="auto"/>
        <w:ind w:firstLine="0"/>
      </w:pPr>
      <w:r>
        <w:t>PTSD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CA">
        <w:tab/>
      </w:r>
      <w:r w:rsidRPr="00F05DCA">
        <w:rPr>
          <w:b/>
          <w:bCs/>
        </w:rPr>
        <w:t xml:space="preserve">* </w:t>
      </w:r>
      <w:r w:rsidRPr="00733A58">
        <w:t>Certi</w:t>
      </w:r>
      <w:r>
        <w:t xml:space="preserve">fied </w:t>
      </w:r>
      <w:r w:rsidR="00F05DCA">
        <w:t>ASIST Model</w:t>
      </w:r>
    </w:p>
    <w:p w14:paraId="66E3C39A" w14:textId="22EB76D1" w:rsidR="00F05DCA" w:rsidRDefault="00F05DCA" w:rsidP="00F05DCA">
      <w:pPr>
        <w:spacing w:line="360" w:lineRule="auto"/>
        <w:ind w:firstLine="0"/>
      </w:pPr>
      <w:r>
        <w:t>Developmental</w:t>
      </w:r>
      <w:r>
        <w:tab/>
      </w:r>
      <w:r>
        <w:tab/>
      </w:r>
      <w:r>
        <w:tab/>
      </w:r>
      <w:r>
        <w:tab/>
      </w:r>
      <w:r>
        <w:tab/>
        <w:t>Identifying/Connecting/Preventing</w:t>
      </w:r>
    </w:p>
    <w:p w14:paraId="3E39FD07" w14:textId="6BBD49B4" w:rsidR="00F05DCA" w:rsidRDefault="00F05DCA" w:rsidP="00F05DCA">
      <w:pPr>
        <w:spacing w:line="360" w:lineRule="auto"/>
        <w:ind w:firstLine="0"/>
      </w:pPr>
      <w:r>
        <w:t>Relationship</w:t>
      </w:r>
      <w:r>
        <w:tab/>
      </w:r>
      <w:r>
        <w:tab/>
      </w:r>
      <w:r>
        <w:tab/>
      </w:r>
      <w:r>
        <w:tab/>
      </w:r>
      <w:r>
        <w:tab/>
      </w:r>
      <w:r>
        <w:tab/>
        <w:t>Small Group Interaction</w:t>
      </w:r>
    </w:p>
    <w:p w14:paraId="57C16232" w14:textId="66AE007F" w:rsidR="00F05DCA" w:rsidRDefault="00F05DCA" w:rsidP="00F05DCA">
      <w:pPr>
        <w:spacing w:line="360" w:lineRule="auto"/>
        <w:ind w:firstLine="0"/>
      </w:pPr>
      <w:r>
        <w:t>Intergenerational</w:t>
      </w:r>
      <w:r>
        <w:tab/>
      </w:r>
      <w:r>
        <w:tab/>
      </w:r>
      <w:r>
        <w:tab/>
      </w:r>
      <w:r>
        <w:tab/>
      </w:r>
      <w:r>
        <w:tab/>
        <w:t>Role Play</w:t>
      </w:r>
    </w:p>
    <w:p w14:paraId="3C560258" w14:textId="00BFE93C" w:rsidR="00F05DCA" w:rsidRDefault="00F05DCA" w:rsidP="00F05DCA">
      <w:pPr>
        <w:spacing w:line="360" w:lineRule="auto"/>
        <w:ind w:firstLine="0"/>
      </w:pPr>
      <w:r>
        <w:t>Neurological Underpinnings</w:t>
      </w:r>
      <w:r>
        <w:tab/>
      </w:r>
      <w:r>
        <w:tab/>
      </w:r>
      <w:r>
        <w:tab/>
      </w:r>
      <w:r>
        <w:tab/>
        <w:t>Evaluating Support Response</w:t>
      </w:r>
    </w:p>
    <w:p w14:paraId="6869E6D5" w14:textId="234CB4AC" w:rsidR="00F05DCA" w:rsidRDefault="00F05DCA" w:rsidP="00F05DCA">
      <w:pPr>
        <w:spacing w:line="360" w:lineRule="auto"/>
        <w:ind w:firstLine="0"/>
      </w:pPr>
      <w:r>
        <w:t>Suicide Antecedents</w:t>
      </w:r>
      <w:r>
        <w:tab/>
      </w:r>
      <w:r>
        <w:tab/>
      </w:r>
      <w:r>
        <w:tab/>
      </w:r>
      <w:r>
        <w:tab/>
      </w:r>
      <w:r>
        <w:tab/>
        <w:t xml:space="preserve">Follow-up </w:t>
      </w:r>
    </w:p>
    <w:p w14:paraId="566184F8" w14:textId="7636F5D5" w:rsidR="00FC6141" w:rsidRDefault="00F05DCA" w:rsidP="00F05DCA">
      <w:pPr>
        <w:spacing w:line="36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*Must attend the full 16-hour instruction for certification.</w:t>
      </w:r>
    </w:p>
    <w:p w14:paraId="60F4402B" w14:textId="71AB076C" w:rsidR="00F05DCA" w:rsidRDefault="00F05DCA" w:rsidP="00F05DCA">
      <w:pPr>
        <w:spacing w:line="36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Starting Thursday, it is a closed-group format. No observers are permitted past the scheduled participants</w:t>
      </w:r>
      <w:r w:rsidR="00FC6141">
        <w:rPr>
          <w:b/>
          <w:bCs/>
          <w:sz w:val="20"/>
          <w:szCs w:val="20"/>
        </w:rPr>
        <w:t>.</w:t>
      </w:r>
    </w:p>
    <w:p w14:paraId="67D46B9C" w14:textId="35E72EAB" w:rsidR="00F05DCA" w:rsidRDefault="00F05DCA" w:rsidP="00F05DCA">
      <w:pPr>
        <w:spacing w:line="36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Each scheduled participant costs approximately $500 to attend this workshop, even if they are no-shows. The hosting parties have to prepay LivingWorks Edu. Inc. for printed materials, and prepay certified instructors</w:t>
      </w:r>
      <w:r w:rsidR="00FC6141">
        <w:rPr>
          <w:b/>
          <w:bCs/>
          <w:sz w:val="20"/>
          <w:szCs w:val="20"/>
        </w:rPr>
        <w:t xml:space="preserve"> and their per diem</w:t>
      </w:r>
      <w:r>
        <w:rPr>
          <w:b/>
          <w:bCs/>
          <w:sz w:val="20"/>
          <w:szCs w:val="20"/>
        </w:rPr>
        <w:t xml:space="preserve">, </w:t>
      </w:r>
      <w:r w:rsidR="00FC6141">
        <w:rPr>
          <w:b/>
          <w:bCs/>
          <w:sz w:val="20"/>
          <w:szCs w:val="20"/>
        </w:rPr>
        <w:t>food and refreshments, and venue costs. We encourage at least (1) One alternate per (2) Two participants.</w:t>
      </w:r>
    </w:p>
    <w:p w14:paraId="52A615BD" w14:textId="489CC555" w:rsidR="00FC6141" w:rsidRDefault="00FC6141" w:rsidP="00F05DCA">
      <w:pPr>
        <w:spacing w:line="360" w:lineRule="auto"/>
        <w:ind w:firstLine="0"/>
        <w:rPr>
          <w:b/>
          <w:bCs/>
          <w:sz w:val="20"/>
          <w:szCs w:val="20"/>
        </w:rPr>
      </w:pPr>
    </w:p>
    <w:p w14:paraId="414B2745" w14:textId="783F2230" w:rsidR="00FC6141" w:rsidRPr="00FC6141" w:rsidRDefault="00FC6141" w:rsidP="00F05DCA">
      <w:pPr>
        <w:spacing w:line="360" w:lineRule="auto"/>
        <w:ind w:firstLine="0"/>
        <w:rPr>
          <w:rFonts w:ascii="AR BLANCA" w:hAnsi="AR BLANCA"/>
          <w:b/>
          <w:bCs/>
          <w:color w:val="auto"/>
          <w:sz w:val="20"/>
          <w:szCs w:val="20"/>
        </w:rPr>
      </w:pPr>
      <w:r w:rsidRPr="00FC6141">
        <w:rPr>
          <w:rFonts w:ascii="AR BLANCA" w:hAnsi="AR BLANCA"/>
          <w:b/>
          <w:bCs/>
          <w:color w:val="4472C4" w:themeColor="accent1"/>
        </w:rPr>
        <w:t>Vets</w:t>
      </w:r>
      <w:r w:rsidRPr="00FC6141">
        <w:rPr>
          <w:rFonts w:ascii="AR BLANCA" w:hAnsi="AR BLANCA"/>
          <w:b/>
          <w:bCs/>
          <w:color w:val="FFC000"/>
        </w:rPr>
        <w:t>4</w:t>
      </w:r>
      <w:r w:rsidRPr="00FC6141">
        <w:rPr>
          <w:rFonts w:ascii="AR BLANCA" w:hAnsi="AR BLANCA"/>
          <w:b/>
          <w:bCs/>
          <w:color w:val="0070C0"/>
        </w:rPr>
        <w:t>Vets</w:t>
      </w:r>
      <w:r w:rsidRPr="00FC6141">
        <w:rPr>
          <w:rFonts w:ascii="AR BLANCA" w:hAnsi="AR BLANCA"/>
          <w:b/>
          <w:bCs/>
          <w:color w:val="FFC000"/>
        </w:rPr>
        <w:t>Foundation</w:t>
      </w:r>
      <w:r w:rsidRPr="00FC6141">
        <w:rPr>
          <w:rFonts w:ascii="AR BLANCA" w:hAnsi="AR BLANCA"/>
          <w:b/>
          <w:bCs/>
          <w:color w:val="auto"/>
        </w:rPr>
        <w:t>@yahoo.com</w:t>
      </w:r>
      <w:r w:rsidRPr="00FC6141">
        <w:rPr>
          <w:rFonts w:ascii="AR BLANCA" w:hAnsi="AR BLANCA"/>
          <w:b/>
          <w:bCs/>
          <w:color w:val="auto"/>
        </w:rPr>
        <w:tab/>
        <w:t xml:space="preserve">                                             </w:t>
      </w:r>
      <w:proofErr w:type="gramStart"/>
      <w:r w:rsidRPr="00FC6141">
        <w:rPr>
          <w:rFonts w:ascii="AR BLANCA" w:hAnsi="AR BLANCA"/>
          <w:b/>
          <w:bCs/>
          <w:color w:val="auto"/>
        </w:rPr>
        <w:t xml:space="preserve"> </w:t>
      </w:r>
      <w:r w:rsidR="00473387" w:rsidRPr="00FC6141">
        <w:rPr>
          <w:rFonts w:ascii="AR BLANCA" w:hAnsi="AR BLANCA"/>
          <w:b/>
          <w:bCs/>
          <w:color w:val="auto"/>
        </w:rPr>
        <w:t xml:space="preserve">  (</w:t>
      </w:r>
      <w:proofErr w:type="gramEnd"/>
      <w:r w:rsidRPr="00FC6141">
        <w:rPr>
          <w:rFonts w:ascii="AR BLANCA" w:hAnsi="AR BLANCA"/>
          <w:b/>
          <w:bCs/>
          <w:color w:val="auto"/>
          <w:sz w:val="22"/>
          <w:szCs w:val="22"/>
        </w:rPr>
        <w:t>256) 599-0291</w:t>
      </w:r>
    </w:p>
    <w:sectPr w:rsidR="00FC6141" w:rsidRPr="00FC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966"/>
    <w:multiLevelType w:val="hybridMultilevel"/>
    <w:tmpl w:val="499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B90"/>
    <w:multiLevelType w:val="hybridMultilevel"/>
    <w:tmpl w:val="27C86768"/>
    <w:lvl w:ilvl="0" w:tplc="0DE8E0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91F3C"/>
    <w:multiLevelType w:val="hybridMultilevel"/>
    <w:tmpl w:val="D56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79554">
    <w:abstractNumId w:val="0"/>
  </w:num>
  <w:num w:numId="2" w16cid:durableId="518666225">
    <w:abstractNumId w:val="2"/>
  </w:num>
  <w:num w:numId="3" w16cid:durableId="80401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06"/>
    <w:rsid w:val="000E7D79"/>
    <w:rsid w:val="00136506"/>
    <w:rsid w:val="003B2DE2"/>
    <w:rsid w:val="00473387"/>
    <w:rsid w:val="00733A58"/>
    <w:rsid w:val="00F05DCA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551A"/>
  <w15:chartTrackingRefBased/>
  <w15:docId w15:val="{1EBBABC8-08DE-4E7E-8AE3-E779AE3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7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Sizemore</dc:creator>
  <cp:keywords/>
  <dc:description/>
  <cp:lastModifiedBy>Mickey Sizemore</cp:lastModifiedBy>
  <cp:revision>2</cp:revision>
  <dcterms:created xsi:type="dcterms:W3CDTF">2023-01-07T19:03:00Z</dcterms:created>
  <dcterms:modified xsi:type="dcterms:W3CDTF">2023-01-07T19:03:00Z</dcterms:modified>
</cp:coreProperties>
</file>