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96" w:rsidRDefault="00101711" w:rsidP="00DF6FF4">
      <w:pPr>
        <w:spacing w:after="0"/>
        <w:rPr>
          <w:rFonts w:ascii="Arial" w:hAnsi="Arial" w:cs="Arial"/>
        </w:rPr>
      </w:pPr>
      <w:r>
        <w:rPr>
          <w:noProof/>
        </w:rPr>
        <w:drawing>
          <wp:inline distT="0" distB="0" distL="0" distR="0" wp14:anchorId="4CFC6444" wp14:editId="099F582D">
            <wp:extent cx="1707807" cy="405302"/>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739" cy="484315"/>
                    </a:xfrm>
                    <a:prstGeom prst="rect">
                      <a:avLst/>
                    </a:prstGeom>
                    <a:noFill/>
                  </pic:spPr>
                </pic:pic>
              </a:graphicData>
            </a:graphic>
          </wp:inline>
        </w:drawing>
      </w:r>
      <w:r w:rsidR="00DF6FF4">
        <w:rPr>
          <w:rFonts w:ascii="Arial" w:hAnsi="Arial" w:cs="Arial"/>
        </w:rPr>
        <w:tab/>
      </w:r>
      <w:r>
        <w:rPr>
          <w:rFonts w:ascii="Arial" w:hAnsi="Arial" w:cs="Arial"/>
        </w:rPr>
        <w:tab/>
      </w:r>
    </w:p>
    <w:p w:rsidR="00514596" w:rsidRDefault="00514596" w:rsidP="00DF6FF4">
      <w:pPr>
        <w:spacing w:after="0"/>
        <w:rPr>
          <w:rFonts w:ascii="Arial" w:hAnsi="Arial" w:cs="Arial"/>
        </w:rPr>
      </w:pPr>
    </w:p>
    <w:p w:rsidR="00514596" w:rsidRDefault="00514596" w:rsidP="00514596">
      <w:pPr>
        <w:jc w:val="center"/>
      </w:pPr>
      <w:r>
        <w:rPr>
          <w:rFonts w:ascii="Arial" w:hAnsi="Arial" w:cs="Arial"/>
          <w:noProof/>
        </w:rPr>
        <w:drawing>
          <wp:inline distT="0" distB="0" distL="0" distR="0" wp14:anchorId="586F594B" wp14:editId="42C16EC8">
            <wp:extent cx="4368165" cy="872490"/>
            <wp:effectExtent l="0" t="0" r="0" b="3810"/>
            <wp:docPr id="1" name="Picture 1" descr="P:\suicidetoHope\S2H_colour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uicidetoHope\S2H_colour_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165" cy="872490"/>
                    </a:xfrm>
                    <a:prstGeom prst="rect">
                      <a:avLst/>
                    </a:prstGeom>
                    <a:noFill/>
                    <a:ln>
                      <a:noFill/>
                    </a:ln>
                  </pic:spPr>
                </pic:pic>
              </a:graphicData>
            </a:graphic>
          </wp:inline>
        </w:drawing>
      </w:r>
    </w:p>
    <w:p w:rsidR="00514596" w:rsidRPr="007A4AA1" w:rsidRDefault="00514596" w:rsidP="00514596">
      <w:pPr>
        <w:spacing w:after="0"/>
        <w:ind w:left="720" w:hanging="720"/>
        <w:jc w:val="center"/>
        <w:rPr>
          <w:rFonts w:ascii="Arial" w:hAnsi="Arial" w:cs="Arial"/>
        </w:rPr>
      </w:pPr>
      <w:r w:rsidRPr="007A4AA1">
        <w:rPr>
          <w:rFonts w:ascii="Arial" w:hAnsi="Arial" w:cs="Arial"/>
        </w:rPr>
        <w:t xml:space="preserve">suicide to Hope is </w:t>
      </w:r>
      <w:r w:rsidR="005608BE">
        <w:rPr>
          <w:rFonts w:ascii="Arial" w:hAnsi="Arial" w:cs="Arial"/>
        </w:rPr>
        <w:t>a one-day w</w:t>
      </w:r>
      <w:r w:rsidRPr="007A4AA1">
        <w:rPr>
          <w:rFonts w:ascii="Arial" w:hAnsi="Arial" w:cs="Arial"/>
        </w:rPr>
        <w:t>orkshop designed for professional helpers</w:t>
      </w:r>
    </w:p>
    <w:p w:rsidR="00514596" w:rsidRDefault="00514596" w:rsidP="00514596">
      <w:pPr>
        <w:spacing w:after="0"/>
        <w:ind w:left="720" w:hanging="720"/>
        <w:jc w:val="center"/>
        <w:rPr>
          <w:rFonts w:ascii="Arial" w:hAnsi="Arial" w:cs="Arial"/>
        </w:rPr>
      </w:pPr>
      <w:r w:rsidRPr="007A4AA1">
        <w:rPr>
          <w:rFonts w:ascii="Arial" w:hAnsi="Arial" w:cs="Arial"/>
        </w:rPr>
        <w:t>support</w:t>
      </w:r>
      <w:r>
        <w:rPr>
          <w:rFonts w:ascii="Arial" w:hAnsi="Arial" w:cs="Arial"/>
        </w:rPr>
        <w:t>ing</w:t>
      </w:r>
      <w:r w:rsidRPr="007A4AA1">
        <w:rPr>
          <w:rFonts w:ascii="Arial" w:hAnsi="Arial" w:cs="Arial"/>
        </w:rPr>
        <w:t xml:space="preserve"> individuals who struggle with suicide on a long-term basis</w:t>
      </w:r>
    </w:p>
    <w:p w:rsidR="00514596" w:rsidRPr="007A4AA1" w:rsidRDefault="00514596" w:rsidP="00514596">
      <w:pPr>
        <w:spacing w:after="0"/>
        <w:ind w:left="720" w:hanging="720"/>
        <w:jc w:val="center"/>
        <w:rPr>
          <w:rFonts w:ascii="Arial" w:hAnsi="Arial" w:cs="Arial"/>
        </w:rPr>
      </w:pPr>
    </w:p>
    <w:p w:rsidR="00514596" w:rsidRPr="007A4AA1" w:rsidRDefault="00514596" w:rsidP="00514596">
      <w:pPr>
        <w:spacing w:after="0"/>
        <w:ind w:left="720" w:hanging="720"/>
        <w:jc w:val="center"/>
        <w:rPr>
          <w:rFonts w:ascii="Arial" w:hAnsi="Arial" w:cs="Arial"/>
        </w:rPr>
      </w:pPr>
      <w:r w:rsidRPr="007A4AA1">
        <w:rPr>
          <w:rFonts w:ascii="Arial" w:hAnsi="Arial" w:cs="Arial"/>
        </w:rPr>
        <w:t>suicide to Hope is not a crisis intervention workshop</w:t>
      </w:r>
    </w:p>
    <w:p w:rsidR="00514596" w:rsidRDefault="00514596" w:rsidP="00514596">
      <w:pPr>
        <w:spacing w:after="0"/>
        <w:rPr>
          <w:rFonts w:ascii="Arial" w:hAnsi="Arial" w:cs="Arial"/>
          <w:b/>
        </w:rPr>
      </w:pPr>
    </w:p>
    <w:p w:rsidR="00514596" w:rsidRPr="00B34331" w:rsidRDefault="00514596" w:rsidP="00514596">
      <w:pPr>
        <w:spacing w:after="0"/>
        <w:ind w:left="720" w:hanging="360"/>
        <w:rPr>
          <w:rFonts w:ascii="Arial" w:hAnsi="Arial" w:cs="Arial"/>
        </w:rPr>
      </w:pPr>
      <w:r w:rsidRPr="00B34331">
        <w:rPr>
          <w:rFonts w:ascii="Arial" w:hAnsi="Arial" w:cs="Arial"/>
        </w:rPr>
        <w:t>suicide to Hope is structured around the Pathway to Hope (PaTH) model:</w:t>
      </w:r>
    </w:p>
    <w:p w:rsidR="00514596" w:rsidRPr="00B34331" w:rsidRDefault="00514596" w:rsidP="00514596">
      <w:pPr>
        <w:pStyle w:val="ListParagraph"/>
        <w:numPr>
          <w:ilvl w:val="0"/>
          <w:numId w:val="1"/>
        </w:numPr>
        <w:spacing w:after="0"/>
        <w:rPr>
          <w:rFonts w:ascii="Arial" w:hAnsi="Arial" w:cs="Arial"/>
        </w:rPr>
      </w:pPr>
      <w:r w:rsidRPr="00B34331">
        <w:rPr>
          <w:rFonts w:ascii="Arial" w:hAnsi="Arial" w:cs="Arial"/>
        </w:rPr>
        <w:t>The Understanding Phase focuses on exploring and describing barriers to recovery and growth</w:t>
      </w:r>
    </w:p>
    <w:p w:rsidR="00514596" w:rsidRPr="00B34331" w:rsidRDefault="00514596" w:rsidP="00514596">
      <w:pPr>
        <w:pStyle w:val="ListParagraph"/>
        <w:numPr>
          <w:ilvl w:val="0"/>
          <w:numId w:val="1"/>
        </w:numPr>
        <w:spacing w:after="0"/>
        <w:rPr>
          <w:rFonts w:ascii="Arial" w:hAnsi="Arial" w:cs="Arial"/>
        </w:rPr>
      </w:pPr>
      <w:r w:rsidRPr="00B34331">
        <w:rPr>
          <w:rFonts w:ascii="Arial" w:hAnsi="Arial" w:cs="Arial"/>
        </w:rPr>
        <w:t>The Planning Phase involves the formulation of suicide specific recovery and growth goals</w:t>
      </w:r>
    </w:p>
    <w:p w:rsidR="00514596" w:rsidRPr="00B34331" w:rsidRDefault="005608BE" w:rsidP="00514596">
      <w:pPr>
        <w:pStyle w:val="ListParagraph"/>
        <w:numPr>
          <w:ilvl w:val="0"/>
          <w:numId w:val="1"/>
        </w:numPr>
        <w:spacing w:after="0"/>
        <w:rPr>
          <w:rFonts w:ascii="Arial" w:hAnsi="Arial" w:cs="Arial"/>
        </w:rPr>
      </w:pPr>
      <w:r>
        <w:rPr>
          <w:rFonts w:ascii="Arial" w:hAnsi="Arial" w:cs="Arial"/>
        </w:rPr>
        <w:t>The I</w:t>
      </w:r>
      <w:bookmarkStart w:id="0" w:name="_GoBack"/>
      <w:bookmarkEnd w:id="0"/>
      <w:r w:rsidR="00514596" w:rsidRPr="00B34331">
        <w:rPr>
          <w:rFonts w:ascii="Arial" w:hAnsi="Arial" w:cs="Arial"/>
        </w:rPr>
        <w:t>mplementing Phase focuses on monitoring progress and reviewing the process</w:t>
      </w:r>
    </w:p>
    <w:p w:rsidR="00514596" w:rsidRDefault="00514596" w:rsidP="00514596">
      <w:pPr>
        <w:spacing w:after="0"/>
        <w:rPr>
          <w:rFonts w:ascii="Arial" w:hAnsi="Arial" w:cs="Arial"/>
        </w:rPr>
      </w:pPr>
    </w:p>
    <w:p w:rsidR="00514596" w:rsidRDefault="00514596" w:rsidP="00514596">
      <w:pPr>
        <w:pBdr>
          <w:top w:val="single" w:sz="4" w:space="1" w:color="auto"/>
          <w:left w:val="single" w:sz="4" w:space="4" w:color="auto"/>
          <w:bottom w:val="single" w:sz="4" w:space="1" w:color="auto"/>
          <w:right w:val="single" w:sz="4" w:space="4" w:color="auto"/>
        </w:pBdr>
        <w:spacing w:after="0"/>
        <w:rPr>
          <w:rFonts w:ascii="Arial" w:hAnsi="Arial" w:cs="Arial"/>
        </w:rPr>
      </w:pPr>
    </w:p>
    <w:p w:rsidR="00514596" w:rsidRPr="00CB4F30" w:rsidRDefault="00514596" w:rsidP="00514596">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Date:</w:t>
      </w:r>
      <w:r>
        <w:rPr>
          <w:rFonts w:ascii="Arial" w:hAnsi="Arial" w:cs="Arial"/>
        </w:rPr>
        <w:tab/>
      </w:r>
      <w:r>
        <w:rPr>
          <w:rFonts w:ascii="Arial" w:hAnsi="Arial" w:cs="Arial"/>
        </w:rPr>
        <w:tab/>
        <w:t xml:space="preserve">December </w:t>
      </w:r>
      <w:r w:rsidR="00C077B6">
        <w:rPr>
          <w:rFonts w:ascii="Arial" w:hAnsi="Arial" w:cs="Arial"/>
        </w:rPr>
        <w:t>1</w:t>
      </w:r>
      <w:r>
        <w:rPr>
          <w:rFonts w:ascii="Arial" w:hAnsi="Arial" w:cs="Arial"/>
        </w:rPr>
        <w:t>, 2022</w:t>
      </w:r>
    </w:p>
    <w:p w:rsidR="00514596" w:rsidRPr="007359FE" w:rsidRDefault="00514596" w:rsidP="00514596">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Pr>
          <w:rFonts w:ascii="Arial" w:hAnsi="Arial" w:cs="Arial"/>
        </w:rPr>
        <w:t>Location:</w:t>
      </w:r>
      <w:r>
        <w:rPr>
          <w:rFonts w:ascii="Arial" w:hAnsi="Arial" w:cs="Arial"/>
        </w:rPr>
        <w:tab/>
        <w:t>Thresholds Homes and Supports Inc. 236 Victoria St. N. Kitchener ON  N2H 5C8</w:t>
      </w:r>
    </w:p>
    <w:p w:rsidR="00514596" w:rsidRPr="00BD398B"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sidRPr="007359FE">
        <w:rPr>
          <w:rFonts w:ascii="Arial" w:hAnsi="Arial" w:cs="Arial"/>
        </w:rPr>
        <w:t>Time:</w:t>
      </w:r>
      <w:r w:rsidRPr="007359FE">
        <w:rPr>
          <w:rFonts w:ascii="Arial" w:hAnsi="Arial" w:cs="Arial"/>
        </w:rPr>
        <w:tab/>
        <w:t xml:space="preserve">    </w:t>
      </w:r>
      <w:r>
        <w:rPr>
          <w:rFonts w:ascii="Arial" w:hAnsi="Arial" w:cs="Arial"/>
        </w:rPr>
        <w:tab/>
      </w:r>
      <w:r w:rsidRPr="007359FE">
        <w:rPr>
          <w:rFonts w:ascii="Arial" w:hAnsi="Arial" w:cs="Arial"/>
        </w:rPr>
        <w:t xml:space="preserve"> 8:30am – 4:30p</w:t>
      </w:r>
      <w:r>
        <w:rPr>
          <w:rFonts w:ascii="Arial" w:hAnsi="Arial" w:cs="Arial"/>
        </w:rPr>
        <w:t>m</w:t>
      </w:r>
      <w:r>
        <w:rPr>
          <w:rFonts w:ascii="Arial" w:hAnsi="Arial" w:cs="Arial"/>
        </w:rPr>
        <w:tab/>
      </w: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Pr>
          <w:rFonts w:ascii="Arial" w:hAnsi="Arial" w:cs="Arial"/>
        </w:rPr>
        <w:t>Cost:</w:t>
      </w:r>
      <w:r>
        <w:rPr>
          <w:rFonts w:ascii="Arial" w:hAnsi="Arial" w:cs="Arial"/>
        </w:rPr>
        <w:tab/>
      </w:r>
      <w:r>
        <w:rPr>
          <w:rFonts w:ascii="Arial" w:hAnsi="Arial" w:cs="Arial"/>
        </w:rPr>
        <w:tab/>
        <w:t>$175.00</w:t>
      </w:r>
      <w:r>
        <w:rPr>
          <w:rFonts w:ascii="Arial" w:hAnsi="Arial" w:cs="Arial"/>
        </w:rPr>
        <w:tab/>
      </w:r>
      <w:r>
        <w:rPr>
          <w:rFonts w:ascii="Arial" w:hAnsi="Arial" w:cs="Arial"/>
        </w:rPr>
        <w:tab/>
      </w:r>
    </w:p>
    <w:p w:rsidR="00514596" w:rsidRPr="007359FE"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Pr>
          <w:rFonts w:ascii="Arial" w:hAnsi="Arial" w:cs="Arial"/>
        </w:rPr>
        <w:t xml:space="preserve">                                                                       </w:t>
      </w: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Pr>
          <w:rFonts w:ascii="Arial" w:hAnsi="Arial" w:cs="Arial"/>
        </w:rPr>
        <w:t xml:space="preserve">Lunch:     </w:t>
      </w:r>
      <w:r>
        <w:rPr>
          <w:rFonts w:ascii="Arial" w:hAnsi="Arial" w:cs="Arial"/>
        </w:rPr>
        <w:tab/>
        <w:t>1 hour – not provided</w:t>
      </w:r>
      <w:r>
        <w:rPr>
          <w:rFonts w:ascii="Arial" w:hAnsi="Arial" w:cs="Arial"/>
        </w:rPr>
        <w:tab/>
      </w:r>
      <w:r>
        <w:rPr>
          <w:rFonts w:ascii="Arial" w:hAnsi="Arial" w:cs="Arial"/>
        </w:rPr>
        <w:tab/>
      </w: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r>
        <w:rPr>
          <w:rFonts w:ascii="Arial" w:hAnsi="Arial" w:cs="Arial"/>
        </w:rPr>
        <w:t>Facilitator:</w:t>
      </w:r>
      <w:r>
        <w:rPr>
          <w:rFonts w:ascii="Arial" w:hAnsi="Arial" w:cs="Arial"/>
        </w:rPr>
        <w:tab/>
        <w:t>Rob Martin, RPN</w:t>
      </w:r>
    </w:p>
    <w:p w:rsidR="00514596" w:rsidRDefault="00514596" w:rsidP="00514596">
      <w:pPr>
        <w:pBdr>
          <w:top w:val="single" w:sz="4" w:space="1" w:color="auto"/>
          <w:left w:val="single" w:sz="4" w:space="4" w:color="auto"/>
          <w:bottom w:val="single" w:sz="4" w:space="1" w:color="auto"/>
          <w:right w:val="single" w:sz="4" w:space="4" w:color="auto"/>
        </w:pBdr>
        <w:spacing w:after="0"/>
        <w:ind w:left="720" w:hanging="720"/>
        <w:rPr>
          <w:rFonts w:ascii="Arial" w:hAnsi="Arial" w:cs="Arial"/>
        </w:rPr>
      </w:pPr>
    </w:p>
    <w:p w:rsidR="00514596" w:rsidRPr="00FB5063" w:rsidRDefault="00514596" w:rsidP="00514596">
      <w:pPr>
        <w:pBdr>
          <w:top w:val="single" w:sz="4" w:space="1" w:color="auto"/>
          <w:left w:val="single" w:sz="4" w:space="4" w:color="auto"/>
          <w:bottom w:val="single" w:sz="4" w:space="1" w:color="auto"/>
          <w:right w:val="single" w:sz="4" w:space="4" w:color="auto"/>
        </w:pBdr>
        <w:spacing w:after="0"/>
        <w:ind w:left="720" w:hanging="720"/>
        <w:jc w:val="center"/>
        <w:rPr>
          <w:rFonts w:ascii="Arial" w:hAnsi="Arial" w:cs="Arial"/>
        </w:rPr>
      </w:pPr>
      <w:r w:rsidRPr="00E34D02">
        <w:rPr>
          <w:rFonts w:ascii="Arial" w:hAnsi="Arial" w:cs="Arial"/>
          <w:b/>
        </w:rPr>
        <w:t>RSVP:</w:t>
      </w:r>
      <w:r w:rsidRPr="00FB5063">
        <w:rPr>
          <w:rFonts w:ascii="Arial" w:hAnsi="Arial" w:cs="Arial"/>
        </w:rPr>
        <w:t xml:space="preserve"> Contact </w:t>
      </w:r>
      <w:r>
        <w:rPr>
          <w:rFonts w:ascii="Arial" w:hAnsi="Arial" w:cs="Arial"/>
        </w:rPr>
        <w:t>Thresholds Homes and Supports Inc.</w:t>
      </w:r>
      <w:r w:rsidRPr="00FB5063">
        <w:rPr>
          <w:rFonts w:ascii="Arial" w:hAnsi="Arial" w:cs="Arial"/>
        </w:rPr>
        <w:t xml:space="preserve"> to register (space is limited)</w:t>
      </w:r>
    </w:p>
    <w:p w:rsidR="00514596" w:rsidRDefault="005608BE" w:rsidP="00514596">
      <w:pPr>
        <w:pBdr>
          <w:top w:val="single" w:sz="4" w:space="1" w:color="auto"/>
          <w:left w:val="single" w:sz="4" w:space="4" w:color="auto"/>
          <w:bottom w:val="single" w:sz="4" w:space="1" w:color="auto"/>
          <w:right w:val="single" w:sz="4" w:space="4" w:color="auto"/>
        </w:pBdr>
        <w:spacing w:after="0"/>
        <w:ind w:left="720" w:hanging="720"/>
        <w:jc w:val="center"/>
        <w:rPr>
          <w:rStyle w:val="Hyperlink"/>
          <w:rFonts w:ascii="Arial" w:hAnsi="Arial" w:cs="Arial"/>
        </w:rPr>
      </w:pPr>
      <w:hyperlink r:id="rId9" w:history="1">
        <w:r w:rsidR="00514596" w:rsidRPr="00852A59">
          <w:rPr>
            <w:rStyle w:val="Hyperlink"/>
            <w:rFonts w:ascii="Arial" w:hAnsi="Arial" w:cs="Arial"/>
          </w:rPr>
          <w:t>jwright@thresholdssupports.ca</w:t>
        </w:r>
      </w:hyperlink>
    </w:p>
    <w:p w:rsidR="00514596" w:rsidRPr="007A4AA1" w:rsidRDefault="00514596" w:rsidP="00514596">
      <w:pPr>
        <w:pBdr>
          <w:top w:val="single" w:sz="4" w:space="1" w:color="auto"/>
          <w:left w:val="single" w:sz="4" w:space="4" w:color="auto"/>
          <w:bottom w:val="single" w:sz="4" w:space="1" w:color="auto"/>
          <w:right w:val="single" w:sz="4" w:space="4" w:color="auto"/>
        </w:pBdr>
        <w:spacing w:after="0"/>
        <w:jc w:val="center"/>
        <w:rPr>
          <w:rFonts w:ascii="Arial" w:hAnsi="Arial" w:cs="Arial"/>
        </w:rPr>
      </w:pPr>
      <w:r>
        <w:rPr>
          <w:rFonts w:ascii="Arial" w:hAnsi="Arial" w:cs="Arial"/>
        </w:rPr>
        <w:t>519-742-3191 ext.1240</w:t>
      </w:r>
    </w:p>
    <w:p w:rsidR="00514596" w:rsidRDefault="00514596" w:rsidP="00514596">
      <w:pPr>
        <w:pBdr>
          <w:top w:val="single" w:sz="4" w:space="1" w:color="auto"/>
          <w:left w:val="single" w:sz="4" w:space="4" w:color="auto"/>
          <w:bottom w:val="single" w:sz="4" w:space="1" w:color="auto"/>
          <w:right w:val="single" w:sz="4" w:space="4" w:color="auto"/>
        </w:pBdr>
        <w:spacing w:after="0"/>
        <w:rPr>
          <w:rFonts w:ascii="Arial" w:hAnsi="Arial" w:cs="Arial"/>
        </w:rPr>
      </w:pPr>
    </w:p>
    <w:p w:rsidR="00514596" w:rsidRPr="005B7D06" w:rsidRDefault="00514596" w:rsidP="00514596">
      <w:pPr>
        <w:spacing w:after="0"/>
        <w:rPr>
          <w:rFonts w:ascii="Arial" w:hAnsi="Arial" w:cs="Arial"/>
          <w:sz w:val="16"/>
          <w:szCs w:val="16"/>
        </w:rPr>
      </w:pPr>
    </w:p>
    <w:p w:rsidR="00514596" w:rsidRDefault="00514596" w:rsidP="00514596">
      <w:pPr>
        <w:spacing w:after="0"/>
        <w:jc w:val="center"/>
        <w:rPr>
          <w:rFonts w:ascii="Arial" w:hAnsi="Arial" w:cs="Arial"/>
        </w:rPr>
      </w:pPr>
      <w:r>
        <w:rPr>
          <w:rFonts w:ascii="Arial" w:hAnsi="Arial" w:cs="Arial"/>
        </w:rPr>
        <w:t>In this workshop participants will reflect upon the qualities as helpers they bring to the helping relationship. Participants learn about the various meanings of suicide experiences and discover the opportunities for recovery and growth they present.</w:t>
      </w:r>
    </w:p>
    <w:p w:rsidR="00514596" w:rsidRPr="00C077B6" w:rsidRDefault="00514596" w:rsidP="00514596">
      <w:pPr>
        <w:rPr>
          <w:sz w:val="16"/>
          <w:szCs w:val="16"/>
        </w:rPr>
      </w:pPr>
    </w:p>
    <w:p w:rsidR="00514596" w:rsidRDefault="00514596" w:rsidP="00514596">
      <w:pPr>
        <w:ind w:left="3600" w:hanging="2880"/>
      </w:pPr>
      <w:r>
        <w:rPr>
          <w:noProof/>
        </w:rPr>
        <w:drawing>
          <wp:inline distT="0" distB="0" distL="0" distR="0" wp14:anchorId="11C3D503" wp14:editId="20CF8C37">
            <wp:extent cx="1494790" cy="4584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790" cy="458470"/>
                    </a:xfrm>
                    <a:prstGeom prst="rect">
                      <a:avLst/>
                    </a:prstGeom>
                    <a:noFill/>
                  </pic:spPr>
                </pic:pic>
              </a:graphicData>
            </a:graphic>
          </wp:inline>
        </w:drawing>
      </w:r>
      <w:r>
        <w:tab/>
      </w:r>
      <w:r>
        <w:tab/>
      </w:r>
      <w:r>
        <w:rPr>
          <w:noProof/>
        </w:rPr>
        <w:drawing>
          <wp:inline distT="0" distB="0" distL="0" distR="0" wp14:anchorId="5542CF54" wp14:editId="7F18AFF0">
            <wp:extent cx="1262747" cy="252078"/>
            <wp:effectExtent l="0" t="0" r="0" b="0"/>
            <wp:docPr id="8" name="Picture 8" descr="LivingWorks">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8" name="Picture 8" descr="LivingWorks">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42" cy="303461"/>
                    </a:xfrm>
                    <a:prstGeom prst="rect">
                      <a:avLst/>
                    </a:prstGeom>
                    <a:noFill/>
                    <a:ln>
                      <a:noFill/>
                    </a:ln>
                  </pic:spPr>
                </pic:pic>
              </a:graphicData>
            </a:graphic>
          </wp:inline>
        </w:drawing>
      </w:r>
      <w:r>
        <w:tab/>
      </w:r>
      <w:r>
        <w:tab/>
      </w:r>
      <w:r>
        <w:tab/>
      </w:r>
      <w:r>
        <w:rPr>
          <w:rFonts w:ascii="Arial" w:hAnsi="Arial" w:cs="Arial"/>
          <w:noProof/>
        </w:rPr>
        <w:drawing>
          <wp:inline distT="0" distB="0" distL="0" distR="0" wp14:anchorId="71229600" wp14:editId="56E17C1A">
            <wp:extent cx="501440" cy="444501"/>
            <wp:effectExtent l="0" t="0" r="0" b="0"/>
            <wp:docPr id="2" name="Picture 2" descr="P:\suicidetoHope\S2H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uicidetoHope\S2H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436" cy="452475"/>
                    </a:xfrm>
                    <a:prstGeom prst="rect">
                      <a:avLst/>
                    </a:prstGeom>
                    <a:noFill/>
                    <a:ln>
                      <a:noFill/>
                    </a:ln>
                  </pic:spPr>
                </pic:pic>
              </a:graphicData>
            </a:graphic>
          </wp:inline>
        </w:drawing>
      </w:r>
    </w:p>
    <w:p w:rsidR="00D74B03" w:rsidRPr="00C077B6" w:rsidRDefault="00514596" w:rsidP="00C077B6">
      <w:pPr>
        <w:ind w:left="3600" w:hanging="2880"/>
      </w:pPr>
      <w:r>
        <w:t xml:space="preserve">                                                                            </w:t>
      </w:r>
      <w:r w:rsidRPr="00101711">
        <w:rPr>
          <w:rFonts w:ascii="Arial" w:hAnsi="Arial" w:cs="Arial"/>
          <w:sz w:val="18"/>
          <w:szCs w:val="18"/>
        </w:rPr>
        <w:t>www.llivingworks.net</w:t>
      </w:r>
    </w:p>
    <w:sectPr w:rsidR="00D74B03" w:rsidRPr="00C077B6" w:rsidSect="006759F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79" w:rsidRDefault="001B3579" w:rsidP="001B3579">
      <w:pPr>
        <w:spacing w:after="0" w:line="240" w:lineRule="auto"/>
      </w:pPr>
      <w:r>
        <w:separator/>
      </w:r>
    </w:p>
  </w:endnote>
  <w:endnote w:type="continuationSeparator" w:id="0">
    <w:p w:rsidR="001B3579" w:rsidRDefault="001B3579" w:rsidP="001B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79" w:rsidRDefault="001B3579" w:rsidP="001B3579">
      <w:pPr>
        <w:spacing w:after="0" w:line="240" w:lineRule="auto"/>
      </w:pPr>
      <w:r>
        <w:separator/>
      </w:r>
    </w:p>
  </w:footnote>
  <w:footnote w:type="continuationSeparator" w:id="0">
    <w:p w:rsidR="001B3579" w:rsidRDefault="001B3579" w:rsidP="001B3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79" w:rsidRDefault="001B3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17E1D"/>
    <w:multiLevelType w:val="hybridMultilevel"/>
    <w:tmpl w:val="DCBC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49"/>
    <w:rsid w:val="00101711"/>
    <w:rsid w:val="0010722F"/>
    <w:rsid w:val="00115BEA"/>
    <w:rsid w:val="00155742"/>
    <w:rsid w:val="001B3579"/>
    <w:rsid w:val="002521DB"/>
    <w:rsid w:val="00514596"/>
    <w:rsid w:val="005608BE"/>
    <w:rsid w:val="005A314D"/>
    <w:rsid w:val="005B06DC"/>
    <w:rsid w:val="005B7D06"/>
    <w:rsid w:val="006759F8"/>
    <w:rsid w:val="007359FE"/>
    <w:rsid w:val="00763690"/>
    <w:rsid w:val="007A4AA1"/>
    <w:rsid w:val="00920C49"/>
    <w:rsid w:val="009D5A63"/>
    <w:rsid w:val="00A35B68"/>
    <w:rsid w:val="00A531C5"/>
    <w:rsid w:val="00B34331"/>
    <w:rsid w:val="00B3571D"/>
    <w:rsid w:val="00B804B6"/>
    <w:rsid w:val="00BD398B"/>
    <w:rsid w:val="00C077B6"/>
    <w:rsid w:val="00C65C02"/>
    <w:rsid w:val="00C73414"/>
    <w:rsid w:val="00CB4F30"/>
    <w:rsid w:val="00D74B03"/>
    <w:rsid w:val="00DF6FF4"/>
    <w:rsid w:val="00E34D02"/>
    <w:rsid w:val="00EA477D"/>
    <w:rsid w:val="00FB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A5FB8"/>
  <w15:docId w15:val="{10344773-586B-4BA7-B03D-ADC0B04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02"/>
    <w:rPr>
      <w:rFonts w:ascii="Tahoma" w:hAnsi="Tahoma" w:cs="Tahoma"/>
      <w:sz w:val="16"/>
      <w:szCs w:val="16"/>
    </w:rPr>
  </w:style>
  <w:style w:type="character" w:styleId="Hyperlink">
    <w:name w:val="Hyperlink"/>
    <w:basedOn w:val="DefaultParagraphFont"/>
    <w:uiPriority w:val="99"/>
    <w:unhideWhenUsed/>
    <w:rsid w:val="007359FE"/>
    <w:rPr>
      <w:color w:val="0000FF" w:themeColor="hyperlink"/>
      <w:u w:val="single"/>
    </w:rPr>
  </w:style>
  <w:style w:type="paragraph" w:styleId="ListParagraph">
    <w:name w:val="List Paragraph"/>
    <w:basedOn w:val="Normal"/>
    <w:uiPriority w:val="34"/>
    <w:qFormat/>
    <w:rsid w:val="00B34331"/>
    <w:pPr>
      <w:ind w:left="720"/>
      <w:contextualSpacing/>
    </w:pPr>
  </w:style>
  <w:style w:type="paragraph" w:styleId="Header">
    <w:name w:val="header"/>
    <w:basedOn w:val="Normal"/>
    <w:link w:val="HeaderChar"/>
    <w:uiPriority w:val="99"/>
    <w:unhideWhenUsed/>
    <w:rsid w:val="001B3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579"/>
  </w:style>
  <w:style w:type="paragraph" w:styleId="Footer">
    <w:name w:val="footer"/>
    <w:basedOn w:val="Normal"/>
    <w:link w:val="FooterChar"/>
    <w:uiPriority w:val="99"/>
    <w:unhideWhenUsed/>
    <w:rsid w:val="001B3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ivingwork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right@thresholdssupports.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Martin</dc:creator>
  <cp:lastModifiedBy>Rob Martin</cp:lastModifiedBy>
  <cp:revision>27</cp:revision>
  <cp:lastPrinted>2022-10-04T18:40:00Z</cp:lastPrinted>
  <dcterms:created xsi:type="dcterms:W3CDTF">2019-03-12T18:52:00Z</dcterms:created>
  <dcterms:modified xsi:type="dcterms:W3CDTF">2022-10-04T18:59:00Z</dcterms:modified>
</cp:coreProperties>
</file>