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D3" w:rsidRDefault="00CD10D3" w:rsidP="00CD10D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CD10D3" w:rsidRPr="008221F9" w:rsidTr="00835991">
        <w:trPr>
          <w:trHeight w:val="18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CD10D3" w:rsidRPr="00CD10D3" w:rsidRDefault="00835991" w:rsidP="00835991">
            <w:pPr>
              <w:spacing w:after="0"/>
              <w:jc w:val="center"/>
              <w:rPr>
                <w:sz w:val="16"/>
                <w:szCs w:val="16"/>
              </w:rPr>
            </w:pPr>
            <w:r w:rsidRPr="00CC5EDC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1416467" wp14:editId="44B5685C">
                  <wp:extent cx="4368165" cy="872490"/>
                  <wp:effectExtent l="0" t="0" r="0" b="3810"/>
                  <wp:docPr id="2" name="Picture 2" descr="P:\suicidetoHope\S2H_colour_tag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suicidetoHope\S2H_colour_tag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165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5991" w:rsidRPr="00CC5EDC" w:rsidRDefault="00835991" w:rsidP="00835991">
      <w:pPr>
        <w:spacing w:after="0"/>
        <w:ind w:left="720" w:hanging="720"/>
        <w:jc w:val="center"/>
        <w:rPr>
          <w:rFonts w:ascii="Arial" w:hAnsi="Arial" w:cs="Arial"/>
          <w:b/>
        </w:rPr>
      </w:pPr>
      <w:r w:rsidRPr="00CC5EDC">
        <w:rPr>
          <w:rFonts w:ascii="Arial" w:hAnsi="Arial" w:cs="Arial"/>
          <w:b/>
        </w:rPr>
        <w:t>A one-day workshop designed for professional helpers</w:t>
      </w:r>
    </w:p>
    <w:p w:rsidR="00835991" w:rsidRPr="00CC5EDC" w:rsidRDefault="00835991" w:rsidP="00835991">
      <w:pPr>
        <w:spacing w:after="0"/>
        <w:ind w:left="720" w:hanging="720"/>
        <w:jc w:val="center"/>
        <w:rPr>
          <w:rFonts w:ascii="Arial" w:hAnsi="Arial" w:cs="Arial"/>
          <w:b/>
        </w:rPr>
      </w:pPr>
      <w:proofErr w:type="gramStart"/>
      <w:r w:rsidRPr="00CC5EDC">
        <w:rPr>
          <w:rFonts w:ascii="Arial" w:hAnsi="Arial" w:cs="Arial"/>
          <w:b/>
        </w:rPr>
        <w:t>who</w:t>
      </w:r>
      <w:proofErr w:type="gramEnd"/>
      <w:r w:rsidRPr="00CC5EDC">
        <w:rPr>
          <w:rFonts w:ascii="Arial" w:hAnsi="Arial" w:cs="Arial"/>
          <w:b/>
        </w:rPr>
        <w:t xml:space="preserve"> work with persons who are struggling with suicide on a long-term basis.</w:t>
      </w:r>
    </w:p>
    <w:p w:rsidR="00835991" w:rsidRDefault="00835991" w:rsidP="0090143B">
      <w:pPr>
        <w:spacing w:after="0"/>
        <w:rPr>
          <w:rFonts w:ascii="Arial" w:hAnsi="Arial" w:cs="Arial"/>
          <w:sz w:val="16"/>
          <w:szCs w:val="16"/>
        </w:rPr>
      </w:pPr>
    </w:p>
    <w:p w:rsidR="0090143B" w:rsidRPr="00CC5EDC" w:rsidRDefault="0090143B" w:rsidP="00835991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835991" w:rsidRPr="00CC5EDC" w:rsidRDefault="00835991" w:rsidP="00835991">
      <w:pPr>
        <w:spacing w:after="0"/>
        <w:ind w:left="720" w:hanging="720"/>
        <w:rPr>
          <w:rFonts w:ascii="Arial" w:hAnsi="Arial" w:cs="Arial"/>
        </w:rPr>
      </w:pPr>
      <w:r w:rsidRPr="00CC5EDC">
        <w:rPr>
          <w:rFonts w:ascii="Arial" w:hAnsi="Arial" w:cs="Arial"/>
        </w:rPr>
        <w:t>Suicide to Hope is not a crisis intervention workshop. It is for professional helpers working with</w:t>
      </w:r>
    </w:p>
    <w:p w:rsidR="00835991" w:rsidRPr="00CC5EDC" w:rsidRDefault="00835991" w:rsidP="00835991">
      <w:pPr>
        <w:spacing w:after="0"/>
        <w:ind w:left="720" w:hanging="720"/>
        <w:rPr>
          <w:rFonts w:ascii="Arial" w:hAnsi="Arial" w:cs="Arial"/>
        </w:rPr>
      </w:pPr>
      <w:proofErr w:type="gramStart"/>
      <w:r w:rsidRPr="00CC5EDC">
        <w:rPr>
          <w:rFonts w:ascii="Arial" w:hAnsi="Arial" w:cs="Arial"/>
        </w:rPr>
        <w:t>people</w:t>
      </w:r>
      <w:proofErr w:type="gramEnd"/>
      <w:r w:rsidRPr="00CC5EDC">
        <w:rPr>
          <w:rFonts w:ascii="Arial" w:hAnsi="Arial" w:cs="Arial"/>
        </w:rPr>
        <w:t xml:space="preserve"> who have been previously at risk, continue to struggle with thoughts of suicide, and who</w:t>
      </w:r>
    </w:p>
    <w:p w:rsidR="00835991" w:rsidRPr="00CC5EDC" w:rsidRDefault="00835991" w:rsidP="00835991">
      <w:pPr>
        <w:spacing w:after="0"/>
        <w:ind w:left="720" w:hanging="720"/>
        <w:rPr>
          <w:rFonts w:ascii="Arial" w:hAnsi="Arial" w:cs="Arial"/>
        </w:rPr>
      </w:pPr>
      <w:proofErr w:type="gramStart"/>
      <w:r w:rsidRPr="00CC5EDC">
        <w:rPr>
          <w:rFonts w:ascii="Arial" w:hAnsi="Arial" w:cs="Arial"/>
        </w:rPr>
        <w:t>are</w:t>
      </w:r>
      <w:proofErr w:type="gramEnd"/>
      <w:r w:rsidRPr="00CC5EDC">
        <w:rPr>
          <w:rFonts w:ascii="Arial" w:hAnsi="Arial" w:cs="Arial"/>
        </w:rPr>
        <w:t xml:space="preserve"> currently safe from acting upon those thoughts.</w:t>
      </w:r>
    </w:p>
    <w:p w:rsidR="00835991" w:rsidRPr="00CC5EDC" w:rsidRDefault="00835991" w:rsidP="00835991">
      <w:pPr>
        <w:spacing w:after="0"/>
        <w:ind w:left="720" w:hanging="720"/>
        <w:rPr>
          <w:rFonts w:ascii="Arial" w:hAnsi="Arial" w:cs="Arial"/>
          <w:sz w:val="16"/>
          <w:szCs w:val="16"/>
        </w:rPr>
      </w:pPr>
    </w:p>
    <w:p w:rsidR="00835991" w:rsidRPr="00CC5EDC" w:rsidRDefault="00835991" w:rsidP="00835991">
      <w:pPr>
        <w:spacing w:after="0"/>
        <w:ind w:left="720" w:hanging="720"/>
        <w:rPr>
          <w:rFonts w:ascii="Arial" w:hAnsi="Arial" w:cs="Arial"/>
        </w:rPr>
      </w:pPr>
      <w:r w:rsidRPr="00CC5EDC">
        <w:rPr>
          <w:rFonts w:ascii="Arial" w:hAnsi="Arial" w:cs="Arial"/>
        </w:rPr>
        <w:t>This training provides tools to help professional helpers and persons with experience of suicide who</w:t>
      </w:r>
    </w:p>
    <w:p w:rsidR="00835991" w:rsidRDefault="00835991" w:rsidP="00835991">
      <w:pPr>
        <w:spacing w:after="0"/>
        <w:ind w:left="720" w:hanging="720"/>
        <w:rPr>
          <w:rFonts w:ascii="Arial" w:hAnsi="Arial" w:cs="Arial"/>
        </w:rPr>
      </w:pPr>
      <w:proofErr w:type="gramStart"/>
      <w:r w:rsidRPr="00CC5EDC">
        <w:rPr>
          <w:rFonts w:ascii="Arial" w:hAnsi="Arial" w:cs="Arial"/>
        </w:rPr>
        <w:t>are</w:t>
      </w:r>
      <w:proofErr w:type="gramEnd"/>
      <w:r w:rsidRPr="00CC5EDC">
        <w:rPr>
          <w:rFonts w:ascii="Arial" w:hAnsi="Arial" w:cs="Arial"/>
        </w:rPr>
        <w:t xml:space="preserve"> ready to move forward to develop achievable and significant recovery and growth goals.</w:t>
      </w:r>
    </w:p>
    <w:p w:rsidR="00835991" w:rsidRDefault="00835991" w:rsidP="00835991">
      <w:pPr>
        <w:spacing w:after="0"/>
        <w:ind w:left="720" w:hanging="720"/>
        <w:rPr>
          <w:rFonts w:ascii="Arial" w:hAnsi="Arial" w:cs="Arial"/>
        </w:rPr>
      </w:pPr>
    </w:p>
    <w:p w:rsidR="0090143B" w:rsidRDefault="0090143B" w:rsidP="0090143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Cost: $150.00 per participant</w:t>
      </w:r>
    </w:p>
    <w:p w:rsidR="0090143B" w:rsidRPr="00CC5EDC" w:rsidRDefault="0090143B" w:rsidP="0090143B">
      <w:pPr>
        <w:spacing w:after="0"/>
        <w:rPr>
          <w:rFonts w:ascii="Arial" w:hAnsi="Arial" w:cs="Arial"/>
        </w:rPr>
      </w:pPr>
    </w:p>
    <w:p w:rsidR="00C97901" w:rsidRDefault="00C97901" w:rsidP="00BE45DC">
      <w:pPr>
        <w:spacing w:after="0" w:line="24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467F4">
        <w:rPr>
          <w:sz w:val="28"/>
          <w:szCs w:val="28"/>
        </w:rPr>
        <w:t>Friday October 11</w:t>
      </w:r>
      <w:r w:rsidR="00835991">
        <w:rPr>
          <w:sz w:val="28"/>
          <w:szCs w:val="28"/>
        </w:rPr>
        <w:t>, 2019</w:t>
      </w:r>
    </w:p>
    <w:p w:rsidR="00CD10D3" w:rsidRDefault="00CD10D3" w:rsidP="00BE45DC">
      <w:pPr>
        <w:spacing w:after="0" w:line="24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   </w:t>
      </w:r>
      <w:r>
        <w:rPr>
          <w:b/>
          <w:sz w:val="28"/>
          <w:szCs w:val="28"/>
        </w:rPr>
        <w:tab/>
      </w:r>
      <w:r w:rsidR="00835991">
        <w:rPr>
          <w:sz w:val="28"/>
          <w:szCs w:val="28"/>
        </w:rPr>
        <w:t>8:30 am – 4:30 pm</w:t>
      </w:r>
    </w:p>
    <w:p w:rsidR="00CD10D3" w:rsidRDefault="00CD10D3" w:rsidP="004317A2">
      <w:pPr>
        <w:spacing w:after="0" w:line="240" w:lineRule="auto"/>
        <w:ind w:left="1440" w:firstLine="720"/>
        <w:rPr>
          <w:sz w:val="28"/>
          <w:szCs w:val="28"/>
        </w:rPr>
      </w:pPr>
      <w:r>
        <w:rPr>
          <w:b/>
          <w:sz w:val="28"/>
          <w:szCs w:val="28"/>
        </w:rPr>
        <w:t>LOCATION:</w:t>
      </w:r>
      <w:r>
        <w:rPr>
          <w:b/>
          <w:sz w:val="28"/>
          <w:szCs w:val="28"/>
        </w:rPr>
        <w:tab/>
      </w:r>
      <w:r w:rsidR="00835991">
        <w:rPr>
          <w:sz w:val="28"/>
          <w:szCs w:val="28"/>
        </w:rPr>
        <w:t xml:space="preserve">Stanley </w:t>
      </w:r>
      <w:r w:rsidR="00D467F4">
        <w:rPr>
          <w:sz w:val="28"/>
          <w:szCs w:val="28"/>
        </w:rPr>
        <w:t>Park Zehrs Community R</w:t>
      </w:r>
      <w:r w:rsidR="00835991">
        <w:rPr>
          <w:sz w:val="28"/>
          <w:szCs w:val="28"/>
        </w:rPr>
        <w:t>oom</w:t>
      </w:r>
    </w:p>
    <w:p w:rsidR="00C97901" w:rsidRPr="00C97901" w:rsidRDefault="00C97901" w:rsidP="004317A2">
      <w:pPr>
        <w:spacing w:after="0" w:line="240" w:lineRule="auto"/>
        <w:ind w:left="1440" w:firstLine="72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35991">
        <w:rPr>
          <w:sz w:val="28"/>
          <w:szCs w:val="28"/>
        </w:rPr>
        <w:t>1005 Ottawa St N, Kitchener ON N2A 1H1</w:t>
      </w:r>
    </w:p>
    <w:p w:rsidR="00CD10D3" w:rsidRDefault="00CD10D3" w:rsidP="00CD10D3">
      <w:pPr>
        <w:spacing w:after="0" w:line="240" w:lineRule="auto"/>
        <w:jc w:val="center"/>
      </w:pPr>
    </w:p>
    <w:p w:rsidR="00CD10D3" w:rsidRDefault="00CD10D3" w:rsidP="00CD10D3">
      <w:pPr>
        <w:spacing w:after="0" w:line="240" w:lineRule="auto"/>
        <w:jc w:val="center"/>
      </w:pPr>
    </w:p>
    <w:p w:rsidR="00CD10D3" w:rsidRPr="00BE45F0" w:rsidRDefault="00CD10D3" w:rsidP="00CD10D3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E45F0">
        <w:rPr>
          <w:b/>
          <w:sz w:val="24"/>
          <w:szCs w:val="24"/>
        </w:rPr>
        <w:t xml:space="preserve">Register by calling Thresholds Homes and Supports: </w:t>
      </w:r>
    </w:p>
    <w:p w:rsidR="00CD10D3" w:rsidRPr="00BE45F0" w:rsidRDefault="00CD10D3" w:rsidP="00CD10D3">
      <w:pPr>
        <w:spacing w:after="0" w:line="240" w:lineRule="auto"/>
        <w:jc w:val="center"/>
        <w:rPr>
          <w:b/>
          <w:sz w:val="24"/>
          <w:szCs w:val="24"/>
        </w:rPr>
      </w:pPr>
      <w:r w:rsidRPr="00BE45F0">
        <w:rPr>
          <w:b/>
          <w:sz w:val="24"/>
          <w:szCs w:val="24"/>
        </w:rPr>
        <w:t>519-742-3191 Ext. 100</w:t>
      </w:r>
    </w:p>
    <w:p w:rsidR="00CD10D3" w:rsidRPr="00BE45F0" w:rsidRDefault="00CD10D3" w:rsidP="00CD10D3">
      <w:pPr>
        <w:spacing w:after="0" w:line="240" w:lineRule="auto"/>
        <w:jc w:val="center"/>
        <w:rPr>
          <w:b/>
          <w:sz w:val="24"/>
          <w:szCs w:val="24"/>
        </w:rPr>
      </w:pPr>
    </w:p>
    <w:p w:rsidR="0090143B" w:rsidRPr="00BE45F0" w:rsidRDefault="0090143B" w:rsidP="0090143B">
      <w:pPr>
        <w:spacing w:after="0" w:line="240" w:lineRule="auto"/>
        <w:jc w:val="center"/>
        <w:rPr>
          <w:b/>
          <w:sz w:val="24"/>
          <w:szCs w:val="24"/>
        </w:rPr>
      </w:pPr>
      <w:r w:rsidRPr="00BE45F0">
        <w:rPr>
          <w:b/>
          <w:sz w:val="24"/>
          <w:szCs w:val="24"/>
        </w:rPr>
        <w:t>Leave a message with your name, contact number AND email address.</w:t>
      </w:r>
    </w:p>
    <w:p w:rsidR="0090143B" w:rsidRPr="00CD10D3" w:rsidRDefault="0090143B" w:rsidP="0090143B">
      <w:pPr>
        <w:spacing w:after="0" w:line="240" w:lineRule="auto"/>
        <w:jc w:val="center"/>
        <w:rPr>
          <w:b/>
          <w:sz w:val="24"/>
          <w:szCs w:val="24"/>
        </w:rPr>
      </w:pPr>
      <w:r w:rsidRPr="00BE45F0">
        <w:rPr>
          <w:b/>
          <w:sz w:val="24"/>
          <w:szCs w:val="24"/>
        </w:rPr>
        <w:t>**Registration will be confirmed by email**</w:t>
      </w:r>
    </w:p>
    <w:p w:rsidR="0090143B" w:rsidRDefault="0090143B" w:rsidP="00CD10D3">
      <w:pPr>
        <w:spacing w:after="0" w:line="240" w:lineRule="auto"/>
        <w:jc w:val="center"/>
        <w:rPr>
          <w:b/>
          <w:sz w:val="24"/>
          <w:szCs w:val="24"/>
        </w:rPr>
      </w:pPr>
    </w:p>
    <w:p w:rsidR="0090143B" w:rsidRPr="00CC5EDC" w:rsidRDefault="0090143B" w:rsidP="00901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jc w:val="center"/>
        <w:rPr>
          <w:rFonts w:ascii="Arial" w:hAnsi="Arial" w:cs="Arial"/>
        </w:rPr>
      </w:pPr>
      <w:r w:rsidRPr="00CC5EDC">
        <w:rPr>
          <w:rFonts w:ascii="Arial" w:hAnsi="Arial" w:cs="Arial"/>
          <w:b/>
        </w:rPr>
        <w:t>Why Recovery and Growth?</w:t>
      </w:r>
    </w:p>
    <w:p w:rsidR="0090143B" w:rsidRDefault="0090143B" w:rsidP="00901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jc w:val="center"/>
        <w:rPr>
          <w:rFonts w:ascii="Arial" w:hAnsi="Arial" w:cs="Arial"/>
        </w:rPr>
      </w:pPr>
      <w:r w:rsidRPr="00CC5EDC">
        <w:rPr>
          <w:rFonts w:ascii="Arial" w:hAnsi="Arial" w:cs="Arial"/>
        </w:rPr>
        <w:t>Recovery and growth approaches have demonstrated</w:t>
      </w:r>
      <w:r>
        <w:rPr>
          <w:rFonts w:ascii="Arial" w:hAnsi="Arial" w:cs="Arial"/>
        </w:rPr>
        <w:t xml:space="preserve"> </w:t>
      </w:r>
      <w:r w:rsidRPr="00CC5EDC">
        <w:rPr>
          <w:rFonts w:ascii="Arial" w:hAnsi="Arial" w:cs="Arial"/>
        </w:rPr>
        <w:t>pos</w:t>
      </w:r>
      <w:r>
        <w:rPr>
          <w:rFonts w:ascii="Arial" w:hAnsi="Arial" w:cs="Arial"/>
        </w:rPr>
        <w:t>itive impacts in mental health,</w:t>
      </w:r>
    </w:p>
    <w:p w:rsidR="0090143B" w:rsidRPr="00CC5EDC" w:rsidRDefault="0090143B" w:rsidP="00901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jc w:val="center"/>
        <w:rPr>
          <w:rFonts w:ascii="Arial" w:hAnsi="Arial" w:cs="Arial"/>
        </w:rPr>
      </w:pPr>
      <w:proofErr w:type="gramStart"/>
      <w:r w:rsidRPr="00CC5EDC">
        <w:rPr>
          <w:rFonts w:ascii="Arial" w:hAnsi="Arial" w:cs="Arial"/>
        </w:rPr>
        <w:t>substance</w:t>
      </w:r>
      <w:proofErr w:type="gramEnd"/>
      <w:r w:rsidRPr="00CC5EDC">
        <w:rPr>
          <w:rFonts w:ascii="Arial" w:hAnsi="Arial" w:cs="Arial"/>
        </w:rPr>
        <w:t xml:space="preserve"> abuse, </w:t>
      </w:r>
      <w:r>
        <w:rPr>
          <w:rFonts w:ascii="Arial" w:hAnsi="Arial" w:cs="Arial"/>
        </w:rPr>
        <w:t xml:space="preserve">and trauma. </w:t>
      </w:r>
      <w:r w:rsidRPr="00CC5EDC">
        <w:rPr>
          <w:rFonts w:ascii="Arial" w:hAnsi="Arial" w:cs="Arial"/>
        </w:rPr>
        <w:t>Living Works has developed suicide to Hope providing</w:t>
      </w:r>
      <w:r>
        <w:rPr>
          <w:rFonts w:ascii="Arial" w:hAnsi="Arial" w:cs="Arial"/>
        </w:rPr>
        <w:t xml:space="preserve"> professional helpers </w:t>
      </w:r>
      <w:r w:rsidRPr="00CC5EDC">
        <w:rPr>
          <w:rFonts w:ascii="Arial" w:hAnsi="Arial" w:cs="Arial"/>
        </w:rPr>
        <w:t>with skills to help persons previously at risk</w:t>
      </w:r>
      <w:r>
        <w:rPr>
          <w:rFonts w:ascii="Arial" w:hAnsi="Arial" w:cs="Arial"/>
        </w:rPr>
        <w:t xml:space="preserve"> </w:t>
      </w:r>
      <w:r w:rsidRPr="00CC5EDC">
        <w:rPr>
          <w:rFonts w:ascii="Arial" w:hAnsi="Arial" w:cs="Arial"/>
        </w:rPr>
        <w:t xml:space="preserve">Identify opportunities </w:t>
      </w:r>
      <w:r>
        <w:rPr>
          <w:rFonts w:ascii="Arial" w:hAnsi="Arial" w:cs="Arial"/>
        </w:rPr>
        <w:t xml:space="preserve">for recovery and growth arising </w:t>
      </w:r>
      <w:r w:rsidRPr="00CC5EDC">
        <w:rPr>
          <w:rFonts w:ascii="Arial" w:hAnsi="Arial" w:cs="Arial"/>
        </w:rPr>
        <w:t>out of</w:t>
      </w:r>
      <w:r>
        <w:rPr>
          <w:rFonts w:ascii="Arial" w:hAnsi="Arial" w:cs="Arial"/>
        </w:rPr>
        <w:t xml:space="preserve"> </w:t>
      </w:r>
      <w:r w:rsidRPr="00CC5EDC">
        <w:rPr>
          <w:rFonts w:ascii="Arial" w:hAnsi="Arial" w:cs="Arial"/>
        </w:rPr>
        <w:t>experiences with suicide.</w:t>
      </w:r>
    </w:p>
    <w:p w:rsidR="00CD10D3" w:rsidRDefault="00CD10D3" w:rsidP="0090143B">
      <w:pPr>
        <w:spacing w:after="0" w:line="240" w:lineRule="auto"/>
        <w:rPr>
          <w:b/>
          <w:sz w:val="24"/>
          <w:szCs w:val="24"/>
        </w:rPr>
      </w:pPr>
    </w:p>
    <w:p w:rsidR="0090143B" w:rsidRPr="0090143B" w:rsidRDefault="0090143B" w:rsidP="0090143B">
      <w:pPr>
        <w:spacing w:after="0" w:line="240" w:lineRule="auto"/>
        <w:rPr>
          <w:b/>
          <w:sz w:val="20"/>
          <w:szCs w:val="20"/>
        </w:rPr>
      </w:pPr>
    </w:p>
    <w:p w:rsidR="00BE45DC" w:rsidRPr="0090143B" w:rsidRDefault="0090143B" w:rsidP="00CD10D3">
      <w:pPr>
        <w:spacing w:after="0" w:line="240" w:lineRule="auto"/>
        <w:jc w:val="center"/>
        <w:rPr>
          <w:sz w:val="20"/>
          <w:szCs w:val="20"/>
        </w:rPr>
      </w:pPr>
      <w:r w:rsidRPr="00CC5EDC">
        <w:rPr>
          <w:rFonts w:ascii="Arial" w:hAnsi="Arial" w:cs="Arial"/>
          <w:noProof/>
          <w:lang w:val="en-US"/>
        </w:rPr>
        <w:drawing>
          <wp:inline distT="0" distB="0" distL="0" distR="0" wp14:anchorId="6FC13BA4" wp14:editId="6319EF39">
            <wp:extent cx="2161309" cy="431696"/>
            <wp:effectExtent l="0" t="0" r="0" b="6985"/>
            <wp:docPr id="4" name="Picture 4" descr="P:\suicidetoHope\S2H_colour_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suicidetoHope\S2H_colour_tag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19" cy="43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5DC" w:rsidRDefault="00BE45DC" w:rsidP="00CD10D3">
      <w:pPr>
        <w:spacing w:after="0" w:line="240" w:lineRule="auto"/>
        <w:jc w:val="center"/>
        <w:rPr>
          <w:i/>
          <w:sz w:val="20"/>
          <w:szCs w:val="20"/>
        </w:rPr>
      </w:pPr>
    </w:p>
    <w:p w:rsidR="00BE45DC" w:rsidRPr="00BE45DC" w:rsidRDefault="00BE45DC" w:rsidP="00BE45DC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1154759" cy="355600"/>
            <wp:effectExtent l="0" t="0" r="7620" b="6350"/>
            <wp:docPr id="1" name="Picture 1" descr="P:\Threshol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hresholds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212" cy="35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5DC" w:rsidRPr="00BE45DC" w:rsidSect="009014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D3" w:rsidRDefault="00CD10D3" w:rsidP="00E47A0E">
      <w:pPr>
        <w:spacing w:after="0" w:line="240" w:lineRule="auto"/>
      </w:pPr>
      <w:r>
        <w:separator/>
      </w:r>
    </w:p>
  </w:endnote>
  <w:endnote w:type="continuationSeparator" w:id="0">
    <w:p w:rsidR="00CD10D3" w:rsidRDefault="00CD10D3" w:rsidP="00E4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01" w:rsidRDefault="00C979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01" w:rsidRDefault="00C979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01" w:rsidRDefault="00C979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D3" w:rsidRDefault="00CD10D3" w:rsidP="00E47A0E">
      <w:pPr>
        <w:spacing w:after="0" w:line="240" w:lineRule="auto"/>
      </w:pPr>
      <w:r>
        <w:separator/>
      </w:r>
    </w:p>
  </w:footnote>
  <w:footnote w:type="continuationSeparator" w:id="0">
    <w:p w:rsidR="00CD10D3" w:rsidRDefault="00CD10D3" w:rsidP="00E4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01" w:rsidRDefault="00C979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A0E" w:rsidRDefault="00E47A0E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B5621FA" wp14:editId="32627FDD">
          <wp:simplePos x="0" y="0"/>
          <wp:positionH relativeFrom="page">
            <wp:posOffset>76200</wp:posOffset>
          </wp:positionH>
          <wp:positionV relativeFrom="paragraph">
            <wp:posOffset>-497205</wp:posOffset>
          </wp:positionV>
          <wp:extent cx="7762875" cy="1004612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3699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046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01" w:rsidRDefault="00C97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D3"/>
    <w:rsid w:val="00411157"/>
    <w:rsid w:val="00430D86"/>
    <w:rsid w:val="004317A2"/>
    <w:rsid w:val="005D3502"/>
    <w:rsid w:val="00610FD2"/>
    <w:rsid w:val="00835991"/>
    <w:rsid w:val="0090143B"/>
    <w:rsid w:val="009E1B11"/>
    <w:rsid w:val="00AB29BB"/>
    <w:rsid w:val="00B644B7"/>
    <w:rsid w:val="00BE45DC"/>
    <w:rsid w:val="00BE45F0"/>
    <w:rsid w:val="00BF4F7D"/>
    <w:rsid w:val="00C97901"/>
    <w:rsid w:val="00CD10D3"/>
    <w:rsid w:val="00D467F4"/>
    <w:rsid w:val="00E4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A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47A0E"/>
  </w:style>
  <w:style w:type="paragraph" w:styleId="Footer">
    <w:name w:val="footer"/>
    <w:basedOn w:val="Normal"/>
    <w:link w:val="FooterChar"/>
    <w:uiPriority w:val="99"/>
    <w:unhideWhenUsed/>
    <w:rsid w:val="00E47A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47A0E"/>
  </w:style>
  <w:style w:type="paragraph" w:styleId="BalloonText">
    <w:name w:val="Balloon Text"/>
    <w:basedOn w:val="Normal"/>
    <w:link w:val="BalloonTextChar"/>
    <w:uiPriority w:val="99"/>
    <w:semiHidden/>
    <w:unhideWhenUsed/>
    <w:rsid w:val="00B644B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A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47A0E"/>
  </w:style>
  <w:style w:type="paragraph" w:styleId="Footer">
    <w:name w:val="footer"/>
    <w:basedOn w:val="Normal"/>
    <w:link w:val="FooterChar"/>
    <w:uiPriority w:val="99"/>
    <w:unhideWhenUsed/>
    <w:rsid w:val="00E47A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47A0E"/>
  </w:style>
  <w:style w:type="paragraph" w:styleId="BalloonText">
    <w:name w:val="Balloon Text"/>
    <w:basedOn w:val="Normal"/>
    <w:link w:val="BalloonTextChar"/>
    <w:uiPriority w:val="99"/>
    <w:semiHidden/>
    <w:unhideWhenUsed/>
    <w:rsid w:val="00B644B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80E2-AE81-4C55-B5D1-34C1AE16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Martin</dc:creator>
  <cp:lastModifiedBy>Rob Martin</cp:lastModifiedBy>
  <cp:revision>2</cp:revision>
  <cp:lastPrinted>2019-05-29T17:08:00Z</cp:lastPrinted>
  <dcterms:created xsi:type="dcterms:W3CDTF">2019-05-29T17:08:00Z</dcterms:created>
  <dcterms:modified xsi:type="dcterms:W3CDTF">2019-05-29T17:08:00Z</dcterms:modified>
</cp:coreProperties>
</file>